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FDDD59">
      <w:pPr>
        <w:spacing w:line="240" w:lineRule="auto"/>
        <w:ind w:firstLine="540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1215390" cy="1131570"/>
            <wp:effectExtent l="0" t="0" r="3810" b="11430"/>
            <wp:docPr id="1" name="图片 1" descr="9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99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215390" cy="1131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69B11B">
      <w:pPr>
        <w:spacing w:before="188" w:line="61" w:lineRule="exact"/>
      </w:pPr>
      <w:r>
        <w:rPr>
          <w:position w:val="-1"/>
        </w:rPr>
        <w:drawing>
          <wp:inline distT="0" distB="0" distL="0" distR="0">
            <wp:extent cx="6381750" cy="38100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81751" cy="38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E76195">
      <w:pPr>
        <w:pStyle w:val="2"/>
        <w:spacing w:before="280" w:line="189" w:lineRule="auto"/>
        <w:ind w:left="546"/>
        <w:outlineLvl w:val="0"/>
        <w:rPr>
          <w:sz w:val="28"/>
          <w:szCs w:val="28"/>
        </w:rPr>
      </w:pPr>
      <w:r>
        <w:rPr>
          <w:b/>
          <w:bCs/>
          <w:spacing w:val="-1"/>
          <w:sz w:val="28"/>
          <w:szCs w:val="28"/>
        </w:rPr>
        <w:t>KIT (V560DEL)</w:t>
      </w:r>
    </w:p>
    <w:p w14:paraId="736BAB36">
      <w:pPr>
        <w:pStyle w:val="2"/>
        <w:spacing w:before="237" w:line="197" w:lineRule="auto"/>
        <w:ind w:left="548"/>
      </w:pPr>
      <w:r>
        <w:rPr>
          <w:b/>
          <w:bCs/>
        </w:rPr>
        <w:t>Catalog</w:t>
      </w:r>
      <w:r>
        <w:rPr>
          <w:b/>
          <w:bCs/>
          <w:spacing w:val="11"/>
        </w:rPr>
        <w:t xml:space="preserve"> </w:t>
      </w:r>
      <w:r>
        <w:rPr>
          <w:b/>
          <w:bCs/>
        </w:rPr>
        <w:t>Number</w:t>
      </w:r>
      <w:r>
        <w:rPr>
          <w:b/>
          <w:bCs/>
          <w:spacing w:val="11"/>
        </w:rPr>
        <w:t xml:space="preserve">: </w:t>
      </w:r>
      <w:r>
        <w:rPr>
          <w:rFonts w:hint="eastAsia" w:eastAsia="宋体"/>
          <w:b/>
          <w:bCs/>
          <w:spacing w:val="11"/>
          <w:lang w:val="en-US" w:eastAsia="zh-CN"/>
        </w:rPr>
        <w:t>CR-M</w:t>
      </w:r>
      <w:r>
        <w:rPr>
          <w:spacing w:val="11"/>
        </w:rPr>
        <w:t>26289</w:t>
      </w:r>
    </w:p>
    <w:p w14:paraId="4D62A665">
      <w:pPr>
        <w:pStyle w:val="2"/>
        <w:spacing w:before="119" w:line="201" w:lineRule="auto"/>
        <w:ind w:left="548"/>
      </w:pPr>
      <w:r>
        <w:rPr>
          <w:b/>
          <w:bCs/>
        </w:rPr>
        <w:t>Gene</w:t>
      </w:r>
      <w:r>
        <w:rPr>
          <w:b/>
          <w:bCs/>
          <w:spacing w:val="21"/>
        </w:rPr>
        <w:t xml:space="preserve"> </w:t>
      </w:r>
      <w:r>
        <w:rPr>
          <w:b/>
          <w:bCs/>
        </w:rPr>
        <w:t>Symbol</w:t>
      </w:r>
      <w:r>
        <w:rPr>
          <w:b/>
          <w:bCs/>
          <w:spacing w:val="10"/>
        </w:rPr>
        <w:t xml:space="preserve">: </w:t>
      </w:r>
      <w:r>
        <w:rPr>
          <w:spacing w:val="10"/>
        </w:rPr>
        <w:t>C-</w:t>
      </w:r>
      <w:r>
        <w:t>Kit</w:t>
      </w:r>
      <w:r>
        <w:rPr>
          <w:spacing w:val="10"/>
        </w:rPr>
        <w:t xml:space="preserve">; </w:t>
      </w:r>
      <w:r>
        <w:t>CD</w:t>
      </w:r>
      <w:r>
        <w:rPr>
          <w:spacing w:val="10"/>
        </w:rPr>
        <w:t xml:space="preserve">117; </w:t>
      </w:r>
      <w:r>
        <w:t>KIT</w:t>
      </w:r>
      <w:r>
        <w:rPr>
          <w:spacing w:val="10"/>
        </w:rPr>
        <w:t xml:space="preserve">; </w:t>
      </w:r>
      <w:r>
        <w:t>PBT</w:t>
      </w:r>
      <w:r>
        <w:rPr>
          <w:spacing w:val="10"/>
        </w:rPr>
        <w:t>;</w:t>
      </w:r>
      <w:r>
        <w:rPr>
          <w:spacing w:val="15"/>
          <w:w w:val="101"/>
        </w:rPr>
        <w:t xml:space="preserve"> </w:t>
      </w:r>
      <w:r>
        <w:t>SCFR</w:t>
      </w:r>
    </w:p>
    <w:p w14:paraId="5B785C8F">
      <w:pPr>
        <w:pStyle w:val="2"/>
        <w:spacing w:before="120" w:line="201" w:lineRule="auto"/>
        <w:ind w:left="542"/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313690</wp:posOffset>
            </wp:positionV>
            <wp:extent cx="6057900" cy="10160"/>
            <wp:effectExtent l="0" t="0" r="0" b="0"/>
            <wp:wrapNone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101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</w:rPr>
        <w:t>Description</w:t>
      </w:r>
      <w:r>
        <w:rPr>
          <w:b/>
          <w:bCs/>
          <w:spacing w:val="21"/>
        </w:rPr>
        <w:t xml:space="preserve">: </w:t>
      </w:r>
      <w:r>
        <w:t>Anti</w:t>
      </w:r>
      <w:r>
        <w:rPr>
          <w:spacing w:val="21"/>
        </w:rPr>
        <w:t>-</w:t>
      </w:r>
      <w:r>
        <w:t>KIT</w:t>
      </w:r>
      <w:r>
        <w:rPr>
          <w:spacing w:val="21"/>
        </w:rPr>
        <w:t xml:space="preserve"> (V560</w:t>
      </w:r>
      <w:r>
        <w:t>DEL</w:t>
      </w:r>
      <w:r>
        <w:rPr>
          <w:spacing w:val="21"/>
        </w:rPr>
        <w:t xml:space="preserve">) </w:t>
      </w:r>
      <w:r>
        <w:t>Mouse</w:t>
      </w:r>
      <w:r>
        <w:rPr>
          <w:spacing w:val="21"/>
        </w:rPr>
        <w:t xml:space="preserve"> </w:t>
      </w:r>
      <w:r>
        <w:t>Monoclonal</w:t>
      </w:r>
      <w:r>
        <w:rPr>
          <w:spacing w:val="-7"/>
        </w:rPr>
        <w:t xml:space="preserve"> </w:t>
      </w:r>
      <w:r>
        <w:t>Antibody</w:t>
      </w:r>
    </w:p>
    <w:p w14:paraId="10EE78E7">
      <w:pPr>
        <w:spacing w:before="128"/>
      </w:pPr>
    </w:p>
    <w:p w14:paraId="3474FF30">
      <w:pPr>
        <w:sectPr>
          <w:pgSz w:w="11906" w:h="16839"/>
          <w:pgMar w:top="851" w:right="595" w:bottom="0" w:left="1259" w:header="0" w:footer="0" w:gutter="0"/>
          <w:cols w:equalWidth="0" w:num="1">
            <w:col w:w="10051"/>
          </w:cols>
        </w:sectPr>
      </w:pPr>
    </w:p>
    <w:p w14:paraId="585DAA52">
      <w:pPr>
        <w:pStyle w:val="2"/>
        <w:spacing w:before="38" w:line="309" w:lineRule="auto"/>
        <w:ind w:left="541" w:right="553" w:firstLine="2"/>
      </w:pPr>
      <w:r>
        <w:rPr>
          <w:b/>
          <w:bCs/>
          <w:spacing w:val="4"/>
        </w:rPr>
        <w:t xml:space="preserve">Background: </w:t>
      </w:r>
      <w:r>
        <w:rPr>
          <w:spacing w:val="4"/>
        </w:rPr>
        <w:t>Tyrosine-prot</w:t>
      </w:r>
      <w:r>
        <w:rPr>
          <w:spacing w:val="3"/>
        </w:rPr>
        <w:t>ein kinase Kit, also</w:t>
      </w:r>
      <w:r>
        <w:t xml:space="preserve"> known</w:t>
      </w:r>
      <w:r>
        <w:rPr>
          <w:spacing w:val="16"/>
        </w:rPr>
        <w:t xml:space="preserve"> </w:t>
      </w:r>
      <w:r>
        <w:t>as</w:t>
      </w:r>
      <w:r>
        <w:rPr>
          <w:spacing w:val="16"/>
        </w:rPr>
        <w:t xml:space="preserve"> </w:t>
      </w:r>
      <w:r>
        <w:t>proto</w:t>
      </w:r>
      <w:r>
        <w:rPr>
          <w:spacing w:val="16"/>
        </w:rPr>
        <w:t>-</w:t>
      </w:r>
      <w:r>
        <w:t>oncogene</w:t>
      </w:r>
      <w:r>
        <w:rPr>
          <w:spacing w:val="16"/>
        </w:rPr>
        <w:t xml:space="preserve"> </w:t>
      </w:r>
      <w:r>
        <w:t>c</w:t>
      </w:r>
      <w:r>
        <w:rPr>
          <w:spacing w:val="16"/>
        </w:rPr>
        <w:t>-</w:t>
      </w:r>
      <w:r>
        <w:t>Kit</w:t>
      </w:r>
      <w:r>
        <w:rPr>
          <w:spacing w:val="16"/>
        </w:rPr>
        <w:t xml:space="preserve"> </w:t>
      </w:r>
      <w:r>
        <w:t>or</w:t>
      </w:r>
      <w:r>
        <w:rPr>
          <w:spacing w:val="9"/>
        </w:rPr>
        <w:t xml:space="preserve"> </w:t>
      </w:r>
      <w:r>
        <w:t>CD</w:t>
      </w:r>
      <w:r>
        <w:rPr>
          <w:spacing w:val="16"/>
        </w:rPr>
        <w:t xml:space="preserve">117 </w:t>
      </w:r>
      <w:r>
        <w:t>or</w:t>
      </w:r>
    </w:p>
    <w:p w14:paraId="0B0384E1">
      <w:pPr>
        <w:pStyle w:val="2"/>
        <w:spacing w:before="31" w:line="297" w:lineRule="auto"/>
        <w:ind w:left="545" w:right="413" w:hanging="2"/>
      </w:pPr>
      <w:r>
        <w:rPr>
          <w:spacing w:val="4"/>
        </w:rPr>
        <w:t>Mast/stem cell growth factor recept</w:t>
      </w:r>
      <w:r>
        <w:rPr>
          <w:spacing w:val="3"/>
        </w:rPr>
        <w:t>or</w:t>
      </w:r>
      <w:r>
        <w:rPr>
          <w:spacing w:val="8"/>
        </w:rPr>
        <w:t xml:space="preserve"> </w:t>
      </w:r>
      <w:r>
        <w:rPr>
          <w:spacing w:val="3"/>
        </w:rPr>
        <w:t>(SCFR),</w:t>
      </w:r>
      <w:r>
        <w:rPr>
          <w:spacing w:val="9"/>
        </w:rPr>
        <w:t xml:space="preserve"> </w:t>
      </w:r>
      <w:r>
        <w:rPr>
          <w:spacing w:val="3"/>
        </w:rPr>
        <w:t>is</w:t>
      </w:r>
      <w:r>
        <w:t xml:space="preserve"> </w:t>
      </w:r>
      <w:r>
        <w:rPr>
          <w:spacing w:val="4"/>
        </w:rPr>
        <w:t xml:space="preserve">a </w:t>
      </w:r>
      <w:r>
        <w:fldChar w:fldCharType="begin"/>
      </w:r>
      <w:r>
        <w:instrText xml:space="preserve"> HYPERLINK "http://en.wikipedia.org/wiki/Receptor_tyrosine_kinase" </w:instrText>
      </w:r>
      <w:r>
        <w:fldChar w:fldCharType="separate"/>
      </w:r>
      <w:r>
        <w:rPr>
          <w:spacing w:val="4"/>
        </w:rPr>
        <w:t>receptor tyrosine kinase</w:t>
      </w:r>
      <w:r>
        <w:rPr>
          <w:spacing w:val="4"/>
        </w:rPr>
        <w:fldChar w:fldCharType="end"/>
      </w:r>
      <w:r>
        <w:rPr>
          <w:spacing w:val="4"/>
        </w:rPr>
        <w:t xml:space="preserve"> </w:t>
      </w:r>
      <w:r>
        <w:fldChar w:fldCharType="begin"/>
      </w:r>
      <w:r>
        <w:instrText xml:space="preserve"> HYPERLINK "http://en.wikipedia.org/wiki/Protein" </w:instrText>
      </w:r>
      <w:r>
        <w:fldChar w:fldCharType="separate"/>
      </w:r>
      <w:r>
        <w:rPr>
          <w:spacing w:val="4"/>
        </w:rPr>
        <w:t>protein</w:t>
      </w:r>
      <w:r>
        <w:rPr>
          <w:spacing w:val="4"/>
        </w:rPr>
        <w:fldChar w:fldCharType="end"/>
      </w:r>
      <w:r>
        <w:rPr>
          <w:spacing w:val="4"/>
        </w:rPr>
        <w:t xml:space="preserve"> that</w:t>
      </w:r>
      <w:r>
        <w:rPr>
          <w:spacing w:val="3"/>
        </w:rPr>
        <w:t xml:space="preserve"> in humans</w:t>
      </w:r>
      <w:r>
        <w:t xml:space="preserve"> </w:t>
      </w:r>
      <w:r>
        <w:rPr>
          <w:spacing w:val="4"/>
        </w:rPr>
        <w:t xml:space="preserve">is encoded by the KIT </w:t>
      </w:r>
      <w:r>
        <w:fldChar w:fldCharType="begin"/>
      </w:r>
      <w:r>
        <w:instrText xml:space="preserve"> HYPERLINK "http://en.wikipedia.org/wiki/Gene" </w:instrText>
      </w:r>
      <w:r>
        <w:fldChar w:fldCharType="separate"/>
      </w:r>
      <w:r>
        <w:rPr>
          <w:spacing w:val="4"/>
        </w:rPr>
        <w:t>gene</w:t>
      </w:r>
      <w:r>
        <w:rPr>
          <w:spacing w:val="4"/>
        </w:rPr>
        <w:fldChar w:fldCharType="end"/>
      </w:r>
      <w:r>
        <w:rPr>
          <w:spacing w:val="4"/>
        </w:rPr>
        <w:t>.</w:t>
      </w:r>
      <w:r>
        <w:rPr>
          <w:spacing w:val="-7"/>
        </w:rPr>
        <w:t xml:space="preserve"> </w:t>
      </w:r>
      <w:r>
        <w:rPr>
          <w:spacing w:val="4"/>
        </w:rPr>
        <w:t>Ac</w:t>
      </w:r>
      <w:r>
        <w:rPr>
          <w:spacing w:val="3"/>
        </w:rPr>
        <w:t>tivating</w:t>
      </w:r>
    </w:p>
    <w:p w14:paraId="1D26A13F">
      <w:pPr>
        <w:pStyle w:val="2"/>
        <w:spacing w:before="82" w:line="201" w:lineRule="auto"/>
        <w:ind w:left="541"/>
      </w:pPr>
      <w:r>
        <w:rPr>
          <w:spacing w:val="3"/>
        </w:rPr>
        <w:t>mutations in this gene</w:t>
      </w:r>
      <w:r>
        <w:rPr>
          <w:spacing w:val="27"/>
          <w:w w:val="101"/>
        </w:rPr>
        <w:t xml:space="preserve"> </w:t>
      </w:r>
      <w:r>
        <w:rPr>
          <w:spacing w:val="3"/>
        </w:rPr>
        <w:t>are</w:t>
      </w:r>
      <w:r>
        <w:rPr>
          <w:spacing w:val="11"/>
        </w:rPr>
        <w:t xml:space="preserve"> </w:t>
      </w:r>
      <w:r>
        <w:rPr>
          <w:spacing w:val="3"/>
        </w:rPr>
        <w:t>associated</w:t>
      </w:r>
    </w:p>
    <w:p w14:paraId="412FA329">
      <w:pPr>
        <w:pStyle w:val="2"/>
        <w:spacing w:before="36" w:line="326" w:lineRule="auto"/>
        <w:ind w:left="541" w:right="1445"/>
      </w:pPr>
      <w:r>
        <w:rPr>
          <w:spacing w:val="4"/>
        </w:rPr>
        <w:t xml:space="preserve">with </w:t>
      </w:r>
      <w:r>
        <w:fldChar w:fldCharType="begin"/>
      </w:r>
      <w:r>
        <w:instrText xml:space="preserve"> HYPERLINK "http://en.wikipedia.org/wiki/Gastrointestinal_stromal_tumor" </w:instrText>
      </w:r>
      <w:r>
        <w:fldChar w:fldCharType="separate"/>
      </w:r>
      <w:r>
        <w:rPr>
          <w:spacing w:val="4"/>
        </w:rPr>
        <w:t>gastrointestinal stromal tu</w:t>
      </w:r>
      <w:r>
        <w:rPr>
          <w:spacing w:val="3"/>
        </w:rPr>
        <w:t>mors</w:t>
      </w:r>
      <w:r>
        <w:rPr>
          <w:spacing w:val="3"/>
        </w:rPr>
        <w:fldChar w:fldCharType="end"/>
      </w:r>
      <w:r>
        <w:rPr>
          <w:spacing w:val="3"/>
        </w:rPr>
        <w:t>,</w:t>
      </w:r>
      <w:r>
        <w:t xml:space="preserve"> </w:t>
      </w:r>
      <w:r>
        <w:rPr>
          <w:spacing w:val="4"/>
        </w:rPr>
        <w:t xml:space="preserve">testicular </w:t>
      </w:r>
      <w:r>
        <w:fldChar w:fldCharType="begin"/>
      </w:r>
      <w:r>
        <w:instrText xml:space="preserve"> HYPERLINK "http://en.wikipedia.org/wiki/Seminoma" </w:instrText>
      </w:r>
      <w:r>
        <w:fldChar w:fldCharType="separate"/>
      </w:r>
      <w:r>
        <w:rPr>
          <w:spacing w:val="4"/>
        </w:rPr>
        <w:t>seminoma</w:t>
      </w:r>
      <w:r>
        <w:rPr>
          <w:spacing w:val="4"/>
        </w:rPr>
        <w:fldChar w:fldCharType="end"/>
      </w:r>
      <w:r>
        <w:rPr>
          <w:spacing w:val="4"/>
        </w:rPr>
        <w:t>, mast c</w:t>
      </w:r>
      <w:r>
        <w:rPr>
          <w:spacing w:val="3"/>
        </w:rPr>
        <w:t>ell</w:t>
      </w:r>
    </w:p>
    <w:p w14:paraId="6E9802E9">
      <w:pPr>
        <w:pStyle w:val="2"/>
        <w:spacing w:line="312" w:lineRule="exact"/>
        <w:ind w:left="546"/>
      </w:pPr>
      <w:r>
        <w:rPr>
          <w:spacing w:val="4"/>
          <w:position w:val="5"/>
        </w:rPr>
        <w:t xml:space="preserve">disease, </w:t>
      </w:r>
      <w:r>
        <w:fldChar w:fldCharType="begin"/>
      </w:r>
      <w:r>
        <w:instrText xml:space="preserve"> HYPERLINK "http://en.wikipedia.org/wiki/Melanoma" </w:instrText>
      </w:r>
      <w:r>
        <w:fldChar w:fldCharType="separate"/>
      </w:r>
      <w:r>
        <w:rPr>
          <w:spacing w:val="4"/>
          <w:position w:val="5"/>
        </w:rPr>
        <w:t>melanoma</w:t>
      </w:r>
      <w:r>
        <w:rPr>
          <w:spacing w:val="4"/>
          <w:position w:val="5"/>
        </w:rPr>
        <w:fldChar w:fldCharType="end"/>
      </w:r>
      <w:r>
        <w:rPr>
          <w:spacing w:val="4"/>
          <w:position w:val="5"/>
        </w:rPr>
        <w:t xml:space="preserve">, </w:t>
      </w:r>
      <w:r>
        <w:fldChar w:fldCharType="begin"/>
      </w:r>
      <w:r>
        <w:instrText xml:space="preserve"> HYPERLINK "http://en.wikipedia.org/wiki/Acute_myeloid_leukemia" </w:instrText>
      </w:r>
      <w:r>
        <w:fldChar w:fldCharType="separate"/>
      </w:r>
      <w:r>
        <w:rPr>
          <w:spacing w:val="4"/>
          <w:position w:val="5"/>
        </w:rPr>
        <w:t>acute myeloid leukemia</w:t>
      </w:r>
      <w:r>
        <w:rPr>
          <w:spacing w:val="4"/>
          <w:position w:val="5"/>
        </w:rPr>
        <w:fldChar w:fldCharType="end"/>
      </w:r>
      <w:r>
        <w:rPr>
          <w:spacing w:val="4"/>
          <w:position w:val="5"/>
        </w:rPr>
        <w:t>,</w:t>
      </w:r>
    </w:p>
    <w:p w14:paraId="171C6957">
      <w:pPr>
        <w:pStyle w:val="2"/>
        <w:spacing w:before="84" w:line="282" w:lineRule="auto"/>
        <w:ind w:left="541" w:right="485"/>
      </w:pPr>
      <w:r>
        <w:rPr>
          <w:spacing w:val="4"/>
        </w:rPr>
        <w:t>while inactivating mutations are associate</w:t>
      </w:r>
      <w:r>
        <w:rPr>
          <w:spacing w:val="3"/>
        </w:rPr>
        <w:t>d with</w:t>
      </w:r>
      <w:r>
        <w:t xml:space="preserve"> </w:t>
      </w:r>
      <w:r>
        <w:rPr>
          <w:spacing w:val="4"/>
        </w:rPr>
        <w:t xml:space="preserve">the genetic defect </w:t>
      </w:r>
      <w:r>
        <w:fldChar w:fldCharType="begin"/>
      </w:r>
      <w:r>
        <w:instrText xml:space="preserve"> HYPERLINK "http://en.wikipedia.org/wiki/Piebaldism" </w:instrText>
      </w:r>
      <w:r>
        <w:fldChar w:fldCharType="separate"/>
      </w:r>
      <w:r>
        <w:rPr>
          <w:spacing w:val="4"/>
        </w:rPr>
        <w:t>piebaldism</w:t>
      </w:r>
      <w:r>
        <w:rPr>
          <w:spacing w:val="4"/>
        </w:rPr>
        <w:fldChar w:fldCharType="end"/>
      </w:r>
      <w:r>
        <w:rPr>
          <w:spacing w:val="4"/>
        </w:rPr>
        <w:t>.</w:t>
      </w:r>
    </w:p>
    <w:p w14:paraId="053FFF9A">
      <w:pPr>
        <w:pStyle w:val="2"/>
        <w:spacing w:before="84" w:line="314" w:lineRule="auto"/>
        <w:ind w:left="545" w:right="939" w:hanging="1"/>
      </w:pPr>
      <w:r>
        <w:rPr>
          <w:b/>
          <w:bCs/>
          <w:spacing w:val="4"/>
        </w:rPr>
        <w:t xml:space="preserve">Immunogen: </w:t>
      </w:r>
      <w:r>
        <w:rPr>
          <w:spacing w:val="4"/>
        </w:rPr>
        <w:t>A synthetic p</w:t>
      </w:r>
      <w:r>
        <w:rPr>
          <w:spacing w:val="3"/>
        </w:rPr>
        <w:t>eptide from the</w:t>
      </w:r>
      <w:r>
        <w:t xml:space="preserve"> </w:t>
      </w:r>
      <w:r>
        <w:rPr>
          <w:spacing w:val="4"/>
        </w:rPr>
        <w:t>internal region of</w:t>
      </w:r>
      <w:r>
        <w:rPr>
          <w:spacing w:val="-7"/>
        </w:rPr>
        <w:t xml:space="preserve"> </w:t>
      </w:r>
      <w:r>
        <w:rPr>
          <w:spacing w:val="4"/>
        </w:rPr>
        <w:t>KIT which includes the</w:t>
      </w:r>
      <w:r>
        <w:t xml:space="preserve">   deletion</w:t>
      </w:r>
      <w:r>
        <w:rPr>
          <w:spacing w:val="17"/>
        </w:rPr>
        <w:t xml:space="preserve"> </w:t>
      </w:r>
      <w:r>
        <w:t>of</w:t>
      </w:r>
      <w:r>
        <w:rPr>
          <w:spacing w:val="-19"/>
        </w:rPr>
        <w:t xml:space="preserve"> </w:t>
      </w:r>
      <w:r>
        <w:t>V</w:t>
      </w:r>
      <w:r>
        <w:rPr>
          <w:spacing w:val="17"/>
        </w:rPr>
        <w:t xml:space="preserve">560, </w:t>
      </w:r>
      <w:r>
        <w:t>human</w:t>
      </w:r>
      <w:r>
        <w:rPr>
          <w:spacing w:val="17"/>
        </w:rPr>
        <w:t xml:space="preserve"> </w:t>
      </w:r>
      <w:r>
        <w:t>origin</w:t>
      </w:r>
      <w:r>
        <w:rPr>
          <w:spacing w:val="17"/>
        </w:rPr>
        <w:t>.</w:t>
      </w:r>
    </w:p>
    <w:p w14:paraId="08F128BD">
      <w:pPr>
        <w:pStyle w:val="2"/>
        <w:spacing w:before="36" w:line="304" w:lineRule="auto"/>
        <w:ind w:left="543" w:right="1190" w:firstLine="3"/>
      </w:pPr>
      <w:r>
        <w:rPr>
          <w:b/>
          <w:bCs/>
          <w:spacing w:val="4"/>
        </w:rPr>
        <w:t>Tested applications:</w:t>
      </w:r>
      <w:r>
        <w:rPr>
          <w:b/>
          <w:bCs/>
          <w:spacing w:val="3"/>
        </w:rPr>
        <w:t xml:space="preserve"> </w:t>
      </w:r>
      <w:r>
        <w:rPr>
          <w:spacing w:val="3"/>
        </w:rPr>
        <w:t>ELISA, WB, IHC</w:t>
      </w:r>
      <w:r>
        <w:t xml:space="preserve"> </w:t>
      </w:r>
      <w:r>
        <w:rPr>
          <w:b/>
          <w:bCs/>
          <w:spacing w:val="4"/>
        </w:rPr>
        <w:t>Recommended dilutions:</w:t>
      </w:r>
    </w:p>
    <w:p w14:paraId="2685257B">
      <w:pPr>
        <w:pStyle w:val="2"/>
        <w:spacing w:before="41" w:line="195" w:lineRule="auto"/>
        <w:ind w:left="544"/>
      </w:pPr>
      <w:r>
        <w:t>ELISA</w:t>
      </w:r>
      <w:r>
        <w:rPr>
          <w:spacing w:val="4"/>
        </w:rPr>
        <w:t>:</w:t>
      </w:r>
      <w:r>
        <w:rPr>
          <w:spacing w:val="9"/>
        </w:rPr>
        <w:t xml:space="preserve">    </w:t>
      </w:r>
      <w:r>
        <w:rPr>
          <w:spacing w:val="4"/>
        </w:rPr>
        <w:t>1:1000-1:5000</w:t>
      </w:r>
    </w:p>
    <w:p w14:paraId="44F797F0">
      <w:pPr>
        <w:pStyle w:val="2"/>
        <w:spacing w:before="125" w:line="195" w:lineRule="auto"/>
        <w:ind w:left="542"/>
      </w:pPr>
      <w:r>
        <w:t>WB</w:t>
      </w:r>
      <w:r>
        <w:rPr>
          <w:spacing w:val="3"/>
        </w:rPr>
        <w:t>:</w:t>
      </w:r>
      <w:r>
        <w:t xml:space="preserve">           </w:t>
      </w:r>
      <w:r>
        <w:rPr>
          <w:spacing w:val="3"/>
        </w:rPr>
        <w:t>1:500-1:1000</w:t>
      </w:r>
    </w:p>
    <w:p w14:paraId="08BF8FA4">
      <w:pPr>
        <w:pStyle w:val="2"/>
        <w:spacing w:before="126" w:line="195" w:lineRule="auto"/>
        <w:ind w:left="545"/>
      </w:pPr>
      <w:r>
        <w:t>IHC</w:t>
      </w:r>
      <w:r>
        <w:rPr>
          <w:spacing w:val="2"/>
        </w:rPr>
        <w:t>:</w:t>
      </w:r>
      <w:r>
        <w:t xml:space="preserve">           </w:t>
      </w:r>
      <w:r>
        <w:rPr>
          <w:spacing w:val="2"/>
        </w:rPr>
        <w:t>1:50-1:100</w:t>
      </w:r>
    </w:p>
    <w:p w14:paraId="7D5858AD">
      <w:pPr>
        <w:pStyle w:val="2"/>
        <w:spacing w:before="121" w:line="201" w:lineRule="auto"/>
        <w:ind w:left="548"/>
      </w:pPr>
      <w:r>
        <w:rPr>
          <w:b/>
          <w:bCs/>
        </w:rPr>
        <w:t>Concentration</w:t>
      </w:r>
      <w:r>
        <w:rPr>
          <w:b/>
          <w:bCs/>
          <w:spacing w:val="15"/>
        </w:rPr>
        <w:t>:</w:t>
      </w:r>
      <w:r>
        <w:rPr>
          <w:b/>
          <w:bCs/>
          <w:spacing w:val="28"/>
        </w:rPr>
        <w:t xml:space="preserve"> </w:t>
      </w:r>
      <w:r>
        <w:rPr>
          <w:spacing w:val="15"/>
        </w:rPr>
        <w:t xml:space="preserve">1 </w:t>
      </w:r>
      <w:r>
        <w:t>mg</w:t>
      </w:r>
      <w:r>
        <w:rPr>
          <w:spacing w:val="15"/>
        </w:rPr>
        <w:t>/</w:t>
      </w:r>
      <w:r>
        <w:t>ml</w:t>
      </w:r>
    </w:p>
    <w:p w14:paraId="06503002">
      <w:pPr>
        <w:pStyle w:val="2"/>
        <w:spacing w:before="126" w:line="192" w:lineRule="auto"/>
        <w:ind w:left="544"/>
      </w:pPr>
      <w:r>
        <w:rPr>
          <w:b/>
          <w:bCs/>
          <w:spacing w:val="4"/>
        </w:rPr>
        <w:t xml:space="preserve">Host: </w:t>
      </w:r>
      <w:r>
        <w:rPr>
          <w:spacing w:val="4"/>
        </w:rPr>
        <w:t>Mouse</w:t>
      </w:r>
    </w:p>
    <w:p w14:paraId="7DE4609D">
      <w:pPr>
        <w:pStyle w:val="2"/>
        <w:spacing w:before="121" w:line="201" w:lineRule="auto"/>
        <w:ind w:left="548"/>
      </w:pPr>
      <w:r>
        <w:rPr>
          <w:b/>
          <w:bCs/>
          <w:spacing w:val="4"/>
        </w:rPr>
        <w:t xml:space="preserve">Clonality: </w:t>
      </w:r>
      <w:r>
        <w:rPr>
          <w:spacing w:val="4"/>
        </w:rPr>
        <w:t>Monoclonal</w:t>
      </w:r>
    </w:p>
    <w:p w14:paraId="5D0ABAA6">
      <w:pPr>
        <w:pStyle w:val="2"/>
        <w:spacing w:before="120" w:line="201" w:lineRule="auto"/>
        <w:ind w:left="545"/>
      </w:pPr>
      <w:r>
        <w:rPr>
          <w:b/>
          <w:bCs/>
          <w:spacing w:val="3"/>
        </w:rPr>
        <w:t xml:space="preserve">Purity: </w:t>
      </w:r>
      <w:r>
        <w:rPr>
          <w:spacing w:val="3"/>
        </w:rPr>
        <w:t>Purified from</w:t>
      </w:r>
      <w:r>
        <w:rPr>
          <w:spacing w:val="25"/>
        </w:rPr>
        <w:t xml:space="preserve"> </w:t>
      </w:r>
      <w:r>
        <w:rPr>
          <w:spacing w:val="3"/>
        </w:rPr>
        <w:t>ascites</w:t>
      </w:r>
    </w:p>
    <w:p w14:paraId="5085034F">
      <w:pPr>
        <w:pStyle w:val="2"/>
        <w:spacing w:before="119" w:line="311" w:lineRule="auto"/>
        <w:ind w:left="550" w:right="3153" w:hanging="6"/>
      </w:pPr>
      <w:r>
        <w:rPr>
          <w:b/>
          <w:bCs/>
          <w:spacing w:val="4"/>
        </w:rPr>
        <w:t xml:space="preserve">Format: </w:t>
      </w:r>
      <w:r>
        <w:rPr>
          <w:spacing w:val="4"/>
        </w:rPr>
        <w:t>Liquid</w:t>
      </w:r>
      <w:r>
        <w:t xml:space="preserve"> </w:t>
      </w:r>
      <w:r>
        <w:rPr>
          <w:b/>
          <w:bCs/>
          <w:spacing w:val="3"/>
        </w:rPr>
        <w:t>Storage buffer:</w:t>
      </w:r>
    </w:p>
    <w:p w14:paraId="2578F789">
      <w:pPr>
        <w:pStyle w:val="2"/>
        <w:spacing w:before="28" w:line="199" w:lineRule="auto"/>
        <w:ind w:left="543"/>
      </w:pPr>
      <w:r>
        <w:rPr>
          <w:spacing w:val="3"/>
        </w:rPr>
        <w:t>Preservative: no</w:t>
      </w:r>
    </w:p>
    <w:p w14:paraId="017F141B">
      <w:pPr>
        <w:pStyle w:val="2"/>
        <w:spacing w:before="106" w:line="315" w:lineRule="auto"/>
        <w:ind w:left="547" w:right="518"/>
      </w:pPr>
      <w:r>
        <w:t>Constituents</w:t>
      </w:r>
      <w:r>
        <w:rPr>
          <w:spacing w:val="11"/>
        </w:rPr>
        <w:t xml:space="preserve">: </w:t>
      </w:r>
      <w:r>
        <w:t>PBS</w:t>
      </w:r>
      <w:r>
        <w:rPr>
          <w:spacing w:val="11"/>
        </w:rPr>
        <w:t xml:space="preserve"> (</w:t>
      </w:r>
      <w:r>
        <w:t>without</w:t>
      </w:r>
      <w:r>
        <w:rPr>
          <w:spacing w:val="11"/>
        </w:rPr>
        <w:t xml:space="preserve"> </w:t>
      </w:r>
      <w:r>
        <w:t>Mg</w:t>
      </w:r>
      <w:r>
        <w:rPr>
          <w:spacing w:val="11"/>
          <w:position w:val="6"/>
          <w:sz w:val="13"/>
          <w:szCs w:val="13"/>
        </w:rPr>
        <w:t xml:space="preserve">2+  </w:t>
      </w:r>
      <w:r>
        <w:t>and</w:t>
      </w:r>
      <w:r>
        <w:rPr>
          <w:spacing w:val="11"/>
        </w:rPr>
        <w:t xml:space="preserve"> </w:t>
      </w:r>
      <w:r>
        <w:t>Ca</w:t>
      </w:r>
      <w:r>
        <w:rPr>
          <w:spacing w:val="11"/>
          <w:position w:val="6"/>
          <w:sz w:val="13"/>
          <w:szCs w:val="13"/>
        </w:rPr>
        <w:t>2+</w:t>
      </w:r>
      <w:r>
        <w:rPr>
          <w:spacing w:val="11"/>
        </w:rPr>
        <w:t xml:space="preserve">), </w:t>
      </w:r>
      <w:r>
        <w:t>pH</w:t>
      </w:r>
      <w:r>
        <w:rPr>
          <w:spacing w:val="1"/>
        </w:rPr>
        <w:t xml:space="preserve"> </w:t>
      </w:r>
      <w:r>
        <w:rPr>
          <w:spacing w:val="6"/>
        </w:rPr>
        <w:t>7.4,</w:t>
      </w:r>
      <w:r>
        <w:rPr>
          <w:spacing w:val="34"/>
        </w:rPr>
        <w:t xml:space="preserve"> </w:t>
      </w:r>
      <w:r>
        <w:rPr>
          <w:spacing w:val="6"/>
        </w:rPr>
        <w:t xml:space="preserve">150 </w:t>
      </w:r>
      <w:r>
        <w:t>mM</w:t>
      </w:r>
      <w:r>
        <w:rPr>
          <w:spacing w:val="6"/>
        </w:rPr>
        <w:t xml:space="preserve"> </w:t>
      </w:r>
      <w:r>
        <w:t>NaCl</w:t>
      </w:r>
      <w:r>
        <w:rPr>
          <w:spacing w:val="6"/>
        </w:rPr>
        <w:t xml:space="preserve">, 50% </w:t>
      </w:r>
      <w:r>
        <w:t>glycerol</w:t>
      </w:r>
    </w:p>
    <w:p w14:paraId="46060412">
      <w:pPr>
        <w:pStyle w:val="2"/>
        <w:spacing w:before="37" w:line="317" w:lineRule="auto"/>
        <w:ind w:left="541" w:right="737" w:firstLine="9"/>
      </w:pPr>
      <w:r>
        <w:rPr>
          <w:b/>
          <w:bCs/>
          <w:spacing w:val="4"/>
        </w:rPr>
        <w:t xml:space="preserve">Species Reactivity: </w:t>
      </w:r>
      <w:r>
        <w:rPr>
          <w:spacing w:val="4"/>
        </w:rPr>
        <w:t>Recognizes V560DEL</w:t>
      </w:r>
      <w:r>
        <w:t xml:space="preserve">    </w:t>
      </w:r>
      <w:r>
        <w:rPr>
          <w:spacing w:val="4"/>
        </w:rPr>
        <w:t>mutant, but not wild-type KIT of</w:t>
      </w:r>
      <w:r>
        <w:rPr>
          <w:spacing w:val="-3"/>
        </w:rPr>
        <w:t xml:space="preserve"> </w:t>
      </w:r>
      <w:r>
        <w:rPr>
          <w:spacing w:val="4"/>
        </w:rPr>
        <w:t>vertebrates.</w:t>
      </w:r>
      <w:r>
        <w:t xml:space="preserve"> </w:t>
      </w:r>
      <w:r>
        <w:rPr>
          <w:b/>
          <w:bCs/>
        </w:rPr>
        <w:t>Storage</w:t>
      </w:r>
      <w:r>
        <w:rPr>
          <w:b/>
          <w:bCs/>
          <w:spacing w:val="13"/>
        </w:rPr>
        <w:t xml:space="preserve"> </w:t>
      </w:r>
      <w:r>
        <w:rPr>
          <w:b/>
          <w:bCs/>
        </w:rPr>
        <w:t>Conditions</w:t>
      </w:r>
      <w:r>
        <w:rPr>
          <w:b/>
          <w:bCs/>
          <w:spacing w:val="13"/>
        </w:rPr>
        <w:t>:</w:t>
      </w:r>
      <w:r>
        <w:rPr>
          <w:b/>
          <w:bCs/>
          <w:spacing w:val="29"/>
        </w:rPr>
        <w:t xml:space="preserve"> </w:t>
      </w:r>
      <w:r>
        <w:t>Store</w:t>
      </w:r>
      <w:r>
        <w:rPr>
          <w:spacing w:val="13"/>
        </w:rPr>
        <w:t xml:space="preserve"> </w:t>
      </w:r>
      <w:r>
        <w:t>at</w:t>
      </w:r>
      <w:r>
        <w:rPr>
          <w:spacing w:val="13"/>
        </w:rPr>
        <w:t xml:space="preserve"> -20°C.</w:t>
      </w:r>
      <w:r>
        <w:rPr>
          <w:spacing w:val="-7"/>
        </w:rPr>
        <w:t xml:space="preserve"> </w:t>
      </w:r>
      <w:r>
        <w:t xml:space="preserve">Avoid   </w:t>
      </w:r>
      <w:r>
        <w:rPr>
          <w:spacing w:val="3"/>
        </w:rPr>
        <w:t>freeze / thaw cycles.</w:t>
      </w:r>
    </w:p>
    <w:p w14:paraId="546A7787">
      <w:pPr>
        <w:spacing w:line="32" w:lineRule="exact"/>
      </w:pPr>
    </w:p>
    <w:p w14:paraId="378FF72E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4D3350F1">
      <w:pPr>
        <w:pStyle w:val="2"/>
        <w:spacing w:before="67" w:line="192" w:lineRule="auto"/>
      </w:pPr>
      <w:r>
        <w:rPr>
          <w:b/>
          <w:bCs/>
          <w:spacing w:val="3"/>
        </w:rPr>
        <w:t>Western blot:</w:t>
      </w:r>
    </w:p>
    <w:p w14:paraId="7F0E9A19">
      <w:pPr>
        <w:spacing w:before="37" w:line="4368" w:lineRule="exact"/>
        <w:ind w:firstLine="1087"/>
      </w:pPr>
      <w:r>
        <w:rPr>
          <w:position w:val="-87"/>
        </w:rPr>
        <w:drawing>
          <wp:inline distT="0" distB="0" distL="0" distR="0">
            <wp:extent cx="1548130" cy="2773045"/>
            <wp:effectExtent l="0" t="0" r="0" b="0"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548384" cy="2773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87A36E">
      <w:pPr>
        <w:pStyle w:val="2"/>
        <w:spacing w:before="88" w:line="197" w:lineRule="auto"/>
      </w:pPr>
      <w:r>
        <w:rPr>
          <w:b/>
          <w:bCs/>
          <w:spacing w:val="4"/>
        </w:rPr>
        <w:t>Western blot analysis of recomb</w:t>
      </w:r>
      <w:r>
        <w:rPr>
          <w:b/>
          <w:bCs/>
          <w:spacing w:val="3"/>
        </w:rPr>
        <w:t>inant</w:t>
      </w:r>
    </w:p>
    <w:p w14:paraId="55ED7F34">
      <w:pPr>
        <w:pStyle w:val="2"/>
        <w:spacing w:before="123" w:line="197" w:lineRule="auto"/>
        <w:ind w:left="2"/>
      </w:pPr>
      <w:r>
        <w:rPr>
          <w:b/>
          <w:bCs/>
        </w:rPr>
        <w:t>KIT</w:t>
      </w:r>
      <w:r>
        <w:rPr>
          <w:b/>
          <w:bCs/>
          <w:spacing w:val="13"/>
        </w:rPr>
        <w:t xml:space="preserve"> (V560</w:t>
      </w:r>
      <w:r>
        <w:rPr>
          <w:b/>
          <w:bCs/>
        </w:rPr>
        <w:t>DEL</w:t>
      </w:r>
      <w:r>
        <w:rPr>
          <w:b/>
          <w:bCs/>
          <w:spacing w:val="13"/>
        </w:rPr>
        <w:t xml:space="preserve">) </w:t>
      </w:r>
      <w:r>
        <w:rPr>
          <w:b/>
          <w:bCs/>
        </w:rPr>
        <w:t>and</w:t>
      </w:r>
      <w:r>
        <w:rPr>
          <w:b/>
          <w:bCs/>
          <w:spacing w:val="13"/>
        </w:rPr>
        <w:t xml:space="preserve"> </w:t>
      </w:r>
      <w:r>
        <w:rPr>
          <w:b/>
          <w:bCs/>
        </w:rPr>
        <w:t>wild</w:t>
      </w:r>
      <w:r>
        <w:rPr>
          <w:b/>
          <w:bCs/>
          <w:spacing w:val="13"/>
        </w:rPr>
        <w:t>-</w:t>
      </w:r>
      <w:r>
        <w:rPr>
          <w:b/>
          <w:bCs/>
        </w:rPr>
        <w:t>type</w:t>
      </w:r>
      <w:r>
        <w:rPr>
          <w:b/>
          <w:bCs/>
          <w:spacing w:val="13"/>
        </w:rPr>
        <w:t xml:space="preserve"> </w:t>
      </w:r>
      <w:r>
        <w:rPr>
          <w:b/>
          <w:bCs/>
        </w:rPr>
        <w:t>proteins</w:t>
      </w:r>
      <w:r>
        <w:rPr>
          <w:b/>
          <w:bCs/>
          <w:spacing w:val="13"/>
        </w:rPr>
        <w:t>.</w:t>
      </w:r>
    </w:p>
    <w:p w14:paraId="56A6C4C9">
      <w:pPr>
        <w:pStyle w:val="2"/>
        <w:spacing w:before="120" w:line="201" w:lineRule="auto"/>
        <w:ind w:left="1"/>
      </w:pPr>
      <w:r>
        <w:t>Purified</w:t>
      </w:r>
      <w:r>
        <w:rPr>
          <w:spacing w:val="15"/>
        </w:rPr>
        <w:t xml:space="preserve"> </w:t>
      </w:r>
      <w:r>
        <w:t>His</w:t>
      </w:r>
      <w:r>
        <w:rPr>
          <w:spacing w:val="15"/>
        </w:rPr>
        <w:t>-</w:t>
      </w:r>
      <w:r>
        <w:t>tagged</w:t>
      </w:r>
      <w:r>
        <w:rPr>
          <w:spacing w:val="15"/>
        </w:rPr>
        <w:t xml:space="preserve"> </w:t>
      </w:r>
      <w:r>
        <w:t>KIT</w:t>
      </w:r>
      <w:r>
        <w:rPr>
          <w:spacing w:val="15"/>
        </w:rPr>
        <w:t xml:space="preserve"> (V560</w:t>
      </w:r>
      <w:r>
        <w:t>DEL</w:t>
      </w:r>
      <w:r>
        <w:rPr>
          <w:spacing w:val="15"/>
        </w:rPr>
        <w:t xml:space="preserve">) </w:t>
      </w:r>
      <w:r>
        <w:t>protein</w:t>
      </w:r>
    </w:p>
    <w:p w14:paraId="125BECBC">
      <w:pPr>
        <w:pStyle w:val="2"/>
        <w:spacing w:before="119" w:line="201" w:lineRule="auto"/>
        <w:ind w:left="6"/>
      </w:pPr>
      <w:r>
        <w:rPr>
          <w:spacing w:val="17"/>
        </w:rPr>
        <w:t>(</w:t>
      </w:r>
      <w:r>
        <w:t>lane</w:t>
      </w:r>
      <w:r>
        <w:rPr>
          <w:spacing w:val="31"/>
          <w:w w:val="101"/>
        </w:rPr>
        <w:t xml:space="preserve"> </w:t>
      </w:r>
      <w:r>
        <w:rPr>
          <w:spacing w:val="17"/>
        </w:rPr>
        <w:t xml:space="preserve">1) </w:t>
      </w:r>
      <w:r>
        <w:t>and</w:t>
      </w:r>
      <w:r>
        <w:rPr>
          <w:spacing w:val="17"/>
        </w:rPr>
        <w:t xml:space="preserve"> </w:t>
      </w:r>
      <w:r>
        <w:t>corresponding</w:t>
      </w:r>
      <w:r>
        <w:rPr>
          <w:spacing w:val="17"/>
        </w:rPr>
        <w:t xml:space="preserve"> </w:t>
      </w:r>
      <w:r>
        <w:t>wild</w:t>
      </w:r>
      <w:r>
        <w:rPr>
          <w:spacing w:val="17"/>
        </w:rPr>
        <w:t>-</w:t>
      </w:r>
      <w:r>
        <w:t>type</w:t>
      </w:r>
      <w:r>
        <w:rPr>
          <w:spacing w:val="17"/>
        </w:rPr>
        <w:t xml:space="preserve"> </w:t>
      </w:r>
      <w:r>
        <w:t>protein</w:t>
      </w:r>
    </w:p>
    <w:p w14:paraId="46DD9121">
      <w:pPr>
        <w:pStyle w:val="2"/>
        <w:spacing w:before="120" w:line="309" w:lineRule="auto"/>
        <w:ind w:right="870" w:firstLine="6"/>
      </w:pPr>
      <w:r>
        <w:rPr>
          <w:spacing w:val="11"/>
        </w:rPr>
        <w:t>(</w:t>
      </w:r>
      <w:r>
        <w:t>lane</w:t>
      </w:r>
      <w:r>
        <w:rPr>
          <w:spacing w:val="11"/>
        </w:rPr>
        <w:t xml:space="preserve"> 2) </w:t>
      </w:r>
      <w:r>
        <w:t>were</w:t>
      </w:r>
      <w:r>
        <w:rPr>
          <w:spacing w:val="11"/>
        </w:rPr>
        <w:t xml:space="preserve"> </w:t>
      </w:r>
      <w:r>
        <w:t>blotted</w:t>
      </w:r>
      <w:r>
        <w:rPr>
          <w:spacing w:val="11"/>
        </w:rPr>
        <w:t xml:space="preserve"> </w:t>
      </w:r>
      <w:r>
        <w:t>with</w:t>
      </w:r>
      <w:r>
        <w:rPr>
          <w:spacing w:val="11"/>
        </w:rPr>
        <w:t xml:space="preserve"> </w:t>
      </w:r>
      <w:r>
        <w:t>anti</w:t>
      </w:r>
      <w:r>
        <w:rPr>
          <w:spacing w:val="11"/>
        </w:rPr>
        <w:t>-</w:t>
      </w:r>
      <w:r>
        <w:t>KIT</w:t>
      </w:r>
      <w:r>
        <w:rPr>
          <w:spacing w:val="11"/>
        </w:rPr>
        <w:t xml:space="preserve"> (V560</w:t>
      </w:r>
      <w:r>
        <w:t>DEL</w:t>
      </w:r>
      <w:r>
        <w:rPr>
          <w:spacing w:val="11"/>
        </w:rPr>
        <w:t>)</w:t>
      </w:r>
      <w:r>
        <w:t xml:space="preserve"> monoclonal</w:t>
      </w:r>
      <w:r>
        <w:rPr>
          <w:spacing w:val="11"/>
        </w:rPr>
        <w:t xml:space="preserve"> </w:t>
      </w:r>
      <w:r>
        <w:t>antibody</w:t>
      </w:r>
      <w:r>
        <w:rPr>
          <w:spacing w:val="11"/>
        </w:rPr>
        <w:t xml:space="preserve"> (</w:t>
      </w:r>
      <w:r>
        <w:t>Cat</w:t>
      </w:r>
      <w:r>
        <w:rPr>
          <w:spacing w:val="11"/>
        </w:rPr>
        <w:t>. #26289).</w:t>
      </w:r>
    </w:p>
    <w:p w14:paraId="2FE2EB3A">
      <w:pPr>
        <w:spacing w:line="309" w:lineRule="auto"/>
        <w:sectPr>
          <w:type w:val="continuous"/>
          <w:pgSz w:w="11906" w:h="16839"/>
          <w:pgMar w:top="851" w:right="595" w:bottom="0" w:left="1259" w:header="0" w:footer="0" w:gutter="0"/>
          <w:cols w:equalWidth="0" w:num="2">
            <w:col w:w="5065" w:space="100"/>
            <w:col w:w="4886"/>
          </w:cols>
        </w:sectPr>
      </w:pPr>
    </w:p>
    <w:p w14:paraId="48215DDD">
      <w:pPr>
        <w:spacing w:line="378" w:lineRule="auto"/>
        <w:rPr>
          <w:rFonts w:ascii="Arial"/>
          <w:sz w:val="21"/>
        </w:rPr>
      </w:pPr>
    </w:p>
    <w:p w14:paraId="73DD8706">
      <w:pPr>
        <w:spacing w:before="1" w:line="61" w:lineRule="exact"/>
      </w:pPr>
      <w:r>
        <w:rPr>
          <w:position w:val="-1"/>
        </w:rPr>
        <w:drawing>
          <wp:inline distT="0" distB="0" distL="0" distR="0">
            <wp:extent cx="6381750" cy="38735"/>
            <wp:effectExtent l="0" t="0" r="0" b="0"/>
            <wp:docPr id="10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 10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381751" cy="38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E23897">
      <w:pPr>
        <w:spacing w:before="193" w:line="198" w:lineRule="auto"/>
        <w:ind w:left="2072"/>
        <w:rPr>
          <w:rFonts w:ascii="Arial" w:hAnsi="Arial" w:eastAsia="Arial" w:cs="Arial"/>
          <w:sz w:val="18"/>
          <w:szCs w:val="18"/>
        </w:rPr>
      </w:pPr>
      <w:r>
        <w:rPr>
          <w:rFonts w:ascii="Arial" w:hAnsi="Arial" w:eastAsia="Arial" w:cs="Arial"/>
          <w:b/>
          <w:bCs/>
          <w:sz w:val="18"/>
          <w:szCs w:val="18"/>
        </w:rPr>
        <w:t>For research use only. Not fo</w:t>
      </w:r>
      <w:r>
        <w:rPr>
          <w:rFonts w:ascii="Arial" w:hAnsi="Arial" w:eastAsia="Arial" w:cs="Arial"/>
          <w:b/>
          <w:bCs/>
          <w:spacing w:val="-1"/>
          <w:sz w:val="18"/>
          <w:szCs w:val="18"/>
        </w:rPr>
        <w:t>r diagnostic</w:t>
      </w:r>
      <w:r>
        <w:rPr>
          <w:rFonts w:ascii="Arial" w:hAnsi="Arial" w:eastAsia="Arial" w:cs="Arial"/>
          <w:b/>
          <w:bCs/>
          <w:spacing w:val="6"/>
          <w:sz w:val="18"/>
          <w:szCs w:val="18"/>
        </w:rPr>
        <w:t xml:space="preserve"> </w:t>
      </w:r>
      <w:r>
        <w:rPr>
          <w:rFonts w:ascii="Arial" w:hAnsi="Arial" w:eastAsia="Arial" w:cs="Arial"/>
          <w:b/>
          <w:bCs/>
          <w:spacing w:val="-1"/>
          <w:sz w:val="18"/>
          <w:szCs w:val="18"/>
        </w:rPr>
        <w:t>or therapeutic</w:t>
      </w:r>
      <w:r>
        <w:rPr>
          <w:rFonts w:ascii="Arial" w:hAnsi="Arial" w:eastAsia="Arial" w:cs="Arial"/>
          <w:b/>
          <w:bCs/>
          <w:spacing w:val="6"/>
          <w:sz w:val="18"/>
          <w:szCs w:val="18"/>
        </w:rPr>
        <w:t xml:space="preserve"> </w:t>
      </w:r>
      <w:r>
        <w:rPr>
          <w:rFonts w:ascii="Arial" w:hAnsi="Arial" w:eastAsia="Arial" w:cs="Arial"/>
          <w:b/>
          <w:bCs/>
          <w:spacing w:val="-1"/>
          <w:sz w:val="18"/>
          <w:szCs w:val="18"/>
        </w:rPr>
        <w:t>applications.</w:t>
      </w:r>
    </w:p>
    <w:p w14:paraId="192ABE2F">
      <w:pPr>
        <w:pStyle w:val="2"/>
        <w:spacing w:line="236" w:lineRule="auto"/>
        <w:ind w:left="2284"/>
      </w:pPr>
    </w:p>
    <w:p w14:paraId="248F11C4">
      <w:pPr>
        <w:spacing w:line="236" w:lineRule="auto"/>
        <w:sectPr>
          <w:type w:val="continuous"/>
          <w:pgSz w:w="11906" w:h="16839"/>
          <w:pgMar w:top="851" w:right="595" w:bottom="0" w:left="1259" w:header="0" w:footer="0" w:gutter="0"/>
          <w:cols w:equalWidth="0" w:num="1">
            <w:col w:w="10051"/>
          </w:cols>
        </w:sectPr>
      </w:pPr>
    </w:p>
    <w:p w14:paraId="703F83A6">
      <w:pPr>
        <w:spacing w:line="1305" w:lineRule="exact"/>
        <w:ind w:firstLine="540"/>
      </w:pPr>
    </w:p>
    <w:p w14:paraId="17201A6A">
      <w:pPr>
        <w:spacing w:before="188" w:line="61" w:lineRule="exact"/>
      </w:pPr>
      <w:r>
        <w:rPr>
          <w:position w:val="-1"/>
        </w:rPr>
        <w:drawing>
          <wp:inline distT="0" distB="0" distL="0" distR="0">
            <wp:extent cx="6381750" cy="38100"/>
            <wp:effectExtent l="0" t="0" r="0" b="0"/>
            <wp:docPr id="14" name="IM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 1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81751" cy="38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1DFAA3">
      <w:pPr>
        <w:pStyle w:val="2"/>
        <w:spacing w:before="174" w:line="195" w:lineRule="auto"/>
        <w:ind w:left="544"/>
      </w:pPr>
      <w:r>
        <w:rPr>
          <w:b/>
          <w:bCs/>
          <w:spacing w:val="4"/>
        </w:rPr>
        <w:t>Immunofluorescence:</w:t>
      </w:r>
    </w:p>
    <w:p w14:paraId="02CD5329">
      <w:pPr>
        <w:spacing w:before="106" w:line="3980" w:lineRule="exact"/>
        <w:ind w:firstLine="818"/>
      </w:pPr>
      <w:r>
        <w:rPr>
          <w:position w:val="-79"/>
        </w:rPr>
        <w:drawing>
          <wp:inline distT="0" distB="0" distL="0" distR="0">
            <wp:extent cx="2377440" cy="2526665"/>
            <wp:effectExtent l="0" t="0" r="0" b="0"/>
            <wp:docPr id="16" name="IM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 16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377661" cy="25269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63C752">
      <w:pPr>
        <w:pStyle w:val="2"/>
        <w:spacing w:before="95" w:line="309" w:lineRule="auto"/>
        <w:ind w:left="543" w:right="5495"/>
      </w:pPr>
      <w:r>
        <w:rPr>
          <w:b/>
          <w:bCs/>
          <w:spacing w:val="4"/>
        </w:rPr>
        <w:t>Immunofluorescence of cells expressing KIT</w:t>
      </w:r>
      <w:r>
        <w:rPr>
          <w:b/>
          <w:bCs/>
          <w:spacing w:val="3"/>
        </w:rPr>
        <w:t xml:space="preserve">  </w:t>
      </w:r>
      <w:r>
        <w:rPr>
          <w:b/>
          <w:bCs/>
        </w:rPr>
        <w:t>proteins</w:t>
      </w:r>
      <w:r>
        <w:rPr>
          <w:b/>
          <w:bCs/>
          <w:spacing w:val="14"/>
        </w:rPr>
        <w:t xml:space="preserve"> </w:t>
      </w:r>
      <w:r>
        <w:rPr>
          <w:b/>
          <w:bCs/>
        </w:rPr>
        <w:t>with</w:t>
      </w:r>
      <w:r>
        <w:rPr>
          <w:b/>
          <w:bCs/>
          <w:spacing w:val="14"/>
        </w:rPr>
        <w:t xml:space="preserve"> </w:t>
      </w:r>
      <w:r>
        <w:rPr>
          <w:b/>
          <w:bCs/>
        </w:rPr>
        <w:t>anti</w:t>
      </w:r>
      <w:r>
        <w:rPr>
          <w:b/>
          <w:bCs/>
          <w:spacing w:val="14"/>
        </w:rPr>
        <w:t>-</w:t>
      </w:r>
      <w:r>
        <w:rPr>
          <w:b/>
          <w:bCs/>
        </w:rPr>
        <w:t>KIT</w:t>
      </w:r>
      <w:r>
        <w:rPr>
          <w:b/>
          <w:bCs/>
          <w:spacing w:val="14"/>
        </w:rPr>
        <w:t xml:space="preserve"> (V560</w:t>
      </w:r>
      <w:r>
        <w:rPr>
          <w:b/>
          <w:bCs/>
        </w:rPr>
        <w:t>DEL</w:t>
      </w:r>
      <w:r>
        <w:rPr>
          <w:b/>
          <w:bCs/>
          <w:spacing w:val="14"/>
        </w:rPr>
        <w:t xml:space="preserve">) </w:t>
      </w:r>
      <w:r>
        <w:rPr>
          <w:b/>
          <w:bCs/>
        </w:rPr>
        <w:t>antibody</w:t>
      </w:r>
      <w:r>
        <w:rPr>
          <w:b/>
          <w:bCs/>
          <w:spacing w:val="14"/>
        </w:rPr>
        <w:t>.</w:t>
      </w:r>
    </w:p>
    <w:p w14:paraId="614C318F">
      <w:pPr>
        <w:pStyle w:val="2"/>
        <w:spacing w:before="27" w:line="199" w:lineRule="auto"/>
        <w:ind w:left="543"/>
      </w:pPr>
      <w:r>
        <w:t>HEK</w:t>
      </w:r>
      <w:r>
        <w:rPr>
          <w:spacing w:val="20"/>
        </w:rPr>
        <w:t>293</w:t>
      </w:r>
      <w:r>
        <w:t>T</w:t>
      </w:r>
      <w:r>
        <w:rPr>
          <w:spacing w:val="20"/>
        </w:rPr>
        <w:t xml:space="preserve"> </w:t>
      </w:r>
      <w:r>
        <w:t>cells</w:t>
      </w:r>
      <w:r>
        <w:rPr>
          <w:spacing w:val="20"/>
        </w:rPr>
        <w:t xml:space="preserve"> </w:t>
      </w:r>
      <w:r>
        <w:t>were</w:t>
      </w:r>
      <w:r>
        <w:rPr>
          <w:spacing w:val="20"/>
        </w:rPr>
        <w:t xml:space="preserve"> </w:t>
      </w:r>
      <w:r>
        <w:t>transfected</w:t>
      </w:r>
      <w:r>
        <w:rPr>
          <w:spacing w:val="20"/>
        </w:rPr>
        <w:t xml:space="preserve"> </w:t>
      </w:r>
      <w:r>
        <w:t>with</w:t>
      </w:r>
    </w:p>
    <w:p w14:paraId="6BC18959">
      <w:pPr>
        <w:pStyle w:val="2"/>
        <w:spacing w:before="122" w:line="309" w:lineRule="auto"/>
        <w:ind w:left="546" w:right="5444" w:hanging="7"/>
      </w:pPr>
      <w:r>
        <w:t>pCDNA</w:t>
      </w:r>
      <w:r>
        <w:rPr>
          <w:spacing w:val="17"/>
        </w:rPr>
        <w:t>3-</w:t>
      </w:r>
      <w:r>
        <w:t>GFP</w:t>
      </w:r>
      <w:r>
        <w:rPr>
          <w:spacing w:val="17"/>
        </w:rPr>
        <w:t>-</w:t>
      </w:r>
      <w:r>
        <w:t>KIT</w:t>
      </w:r>
      <w:r>
        <w:rPr>
          <w:spacing w:val="17"/>
        </w:rPr>
        <w:t xml:space="preserve"> (</w:t>
      </w:r>
      <w:r>
        <w:t>WT</w:t>
      </w:r>
      <w:r>
        <w:rPr>
          <w:spacing w:val="17"/>
        </w:rPr>
        <w:t xml:space="preserve">) </w:t>
      </w:r>
      <w:r>
        <w:t>plasmid</w:t>
      </w:r>
      <w:r>
        <w:rPr>
          <w:spacing w:val="17"/>
        </w:rPr>
        <w:t xml:space="preserve"> (</w:t>
      </w:r>
      <w:r>
        <w:t>left</w:t>
      </w:r>
      <w:r>
        <w:rPr>
          <w:spacing w:val="17"/>
        </w:rPr>
        <w:t xml:space="preserve"> </w:t>
      </w:r>
      <w:r>
        <w:t>column</w:t>
      </w:r>
      <w:r>
        <w:rPr>
          <w:spacing w:val="17"/>
        </w:rPr>
        <w:t>)</w:t>
      </w:r>
      <w:r>
        <w:t xml:space="preserve"> or</w:t>
      </w:r>
      <w:r>
        <w:rPr>
          <w:spacing w:val="13"/>
        </w:rPr>
        <w:t xml:space="preserve"> </w:t>
      </w:r>
      <w:r>
        <w:t>pCDNA</w:t>
      </w:r>
      <w:r>
        <w:rPr>
          <w:spacing w:val="13"/>
        </w:rPr>
        <w:t>3-</w:t>
      </w:r>
      <w:r>
        <w:t>GFP</w:t>
      </w:r>
      <w:r>
        <w:rPr>
          <w:spacing w:val="13"/>
        </w:rPr>
        <w:t>-</w:t>
      </w:r>
      <w:r>
        <w:t>KIT</w:t>
      </w:r>
      <w:r>
        <w:rPr>
          <w:spacing w:val="13"/>
        </w:rPr>
        <w:t xml:space="preserve"> (V560</w:t>
      </w:r>
      <w:r>
        <w:t>DEL</w:t>
      </w:r>
      <w:r>
        <w:rPr>
          <w:spacing w:val="13"/>
        </w:rPr>
        <w:t xml:space="preserve">) </w:t>
      </w:r>
      <w:r>
        <w:t>plasmid</w:t>
      </w:r>
    </w:p>
    <w:p w14:paraId="0E18A406">
      <w:pPr>
        <w:pStyle w:val="2"/>
        <w:spacing w:before="31" w:line="201" w:lineRule="auto"/>
        <w:ind w:left="548"/>
      </w:pPr>
      <w:r>
        <w:rPr>
          <w:spacing w:val="3"/>
        </w:rPr>
        <w:t>(right column), then fixed</w:t>
      </w:r>
      <w:r>
        <w:rPr>
          <w:spacing w:val="20"/>
          <w:w w:val="101"/>
        </w:rPr>
        <w:t xml:space="preserve"> </w:t>
      </w:r>
      <w:r>
        <w:rPr>
          <w:spacing w:val="3"/>
        </w:rPr>
        <w:t>and</w:t>
      </w:r>
      <w:r>
        <w:rPr>
          <w:spacing w:val="14"/>
        </w:rPr>
        <w:t xml:space="preserve"> </w:t>
      </w:r>
      <w:r>
        <w:rPr>
          <w:spacing w:val="3"/>
        </w:rPr>
        <w:t>stained with</w:t>
      </w:r>
    </w:p>
    <w:p w14:paraId="37031C72">
      <w:pPr>
        <w:pStyle w:val="2"/>
        <w:spacing w:before="119" w:line="201" w:lineRule="auto"/>
        <w:ind w:left="547"/>
      </w:pPr>
      <w:r>
        <w:t>anti</w:t>
      </w:r>
      <w:r>
        <w:rPr>
          <w:spacing w:val="13"/>
        </w:rPr>
        <w:t>-</w:t>
      </w:r>
      <w:r>
        <w:t>KIT</w:t>
      </w:r>
      <w:r>
        <w:rPr>
          <w:spacing w:val="13"/>
        </w:rPr>
        <w:t xml:space="preserve"> (V560</w:t>
      </w:r>
      <w:r>
        <w:t>DEL</w:t>
      </w:r>
      <w:r>
        <w:rPr>
          <w:spacing w:val="13"/>
        </w:rPr>
        <w:t xml:space="preserve">) </w:t>
      </w:r>
      <w:r>
        <w:t>monoclonal</w:t>
      </w:r>
      <w:r>
        <w:rPr>
          <w:spacing w:val="13"/>
        </w:rPr>
        <w:t xml:space="preserve"> </w:t>
      </w:r>
      <w:r>
        <w:t>antibody</w:t>
      </w:r>
      <w:r>
        <w:rPr>
          <w:spacing w:val="13"/>
        </w:rPr>
        <w:t xml:space="preserve"> (</w:t>
      </w:r>
      <w:r>
        <w:t>Cat</w:t>
      </w:r>
      <w:r>
        <w:rPr>
          <w:spacing w:val="13"/>
        </w:rPr>
        <w:t>.</w:t>
      </w:r>
    </w:p>
    <w:p w14:paraId="7AB60B36">
      <w:pPr>
        <w:pStyle w:val="2"/>
        <w:spacing w:before="120" w:line="201" w:lineRule="auto"/>
        <w:ind w:left="543"/>
      </w:pPr>
      <w:r>
        <w:rPr>
          <w:spacing w:val="5"/>
        </w:rPr>
        <w:t>#26289).</w:t>
      </w:r>
    </w:p>
    <w:p w14:paraId="08ADA7BD">
      <w:pPr>
        <w:spacing w:line="246" w:lineRule="auto"/>
        <w:rPr>
          <w:rFonts w:ascii="Arial"/>
          <w:sz w:val="21"/>
        </w:rPr>
      </w:pPr>
    </w:p>
    <w:p w14:paraId="2801BD7D">
      <w:pPr>
        <w:spacing w:line="246" w:lineRule="auto"/>
        <w:rPr>
          <w:rFonts w:ascii="Arial"/>
          <w:sz w:val="21"/>
        </w:rPr>
      </w:pPr>
    </w:p>
    <w:p w14:paraId="53D90EBD">
      <w:pPr>
        <w:spacing w:line="246" w:lineRule="auto"/>
        <w:rPr>
          <w:rFonts w:ascii="Arial"/>
          <w:sz w:val="21"/>
        </w:rPr>
      </w:pPr>
    </w:p>
    <w:p w14:paraId="2CF853F3">
      <w:pPr>
        <w:spacing w:line="246" w:lineRule="auto"/>
        <w:rPr>
          <w:rFonts w:ascii="Arial"/>
          <w:sz w:val="21"/>
        </w:rPr>
      </w:pPr>
    </w:p>
    <w:p w14:paraId="1BA0D391">
      <w:pPr>
        <w:spacing w:line="246" w:lineRule="auto"/>
        <w:rPr>
          <w:rFonts w:ascii="Arial"/>
          <w:sz w:val="21"/>
        </w:rPr>
      </w:pPr>
    </w:p>
    <w:p w14:paraId="4D8E514B">
      <w:pPr>
        <w:spacing w:line="246" w:lineRule="auto"/>
        <w:rPr>
          <w:rFonts w:ascii="Arial"/>
          <w:sz w:val="21"/>
        </w:rPr>
      </w:pPr>
    </w:p>
    <w:p w14:paraId="22BED9E4">
      <w:pPr>
        <w:spacing w:line="246" w:lineRule="auto"/>
        <w:rPr>
          <w:rFonts w:ascii="Arial"/>
          <w:sz w:val="21"/>
        </w:rPr>
      </w:pPr>
    </w:p>
    <w:p w14:paraId="7617B9F5">
      <w:pPr>
        <w:spacing w:line="246" w:lineRule="auto"/>
        <w:rPr>
          <w:rFonts w:ascii="Arial"/>
          <w:sz w:val="21"/>
        </w:rPr>
      </w:pPr>
    </w:p>
    <w:p w14:paraId="256B1710">
      <w:pPr>
        <w:spacing w:line="246" w:lineRule="auto"/>
        <w:rPr>
          <w:rFonts w:ascii="Arial"/>
          <w:sz w:val="21"/>
        </w:rPr>
      </w:pPr>
    </w:p>
    <w:p w14:paraId="1CC1B67E">
      <w:pPr>
        <w:spacing w:line="246" w:lineRule="auto"/>
        <w:rPr>
          <w:rFonts w:ascii="Arial"/>
          <w:sz w:val="21"/>
        </w:rPr>
      </w:pPr>
    </w:p>
    <w:p w14:paraId="37370ACD">
      <w:pPr>
        <w:spacing w:line="246" w:lineRule="auto"/>
        <w:rPr>
          <w:rFonts w:ascii="Arial"/>
          <w:sz w:val="21"/>
        </w:rPr>
      </w:pPr>
      <w:bookmarkStart w:id="0" w:name="_GoBack"/>
      <w:bookmarkEnd w:id="0"/>
    </w:p>
    <w:p w14:paraId="5739CECD">
      <w:pPr>
        <w:spacing w:line="246" w:lineRule="auto"/>
        <w:rPr>
          <w:rFonts w:ascii="Arial"/>
          <w:sz w:val="21"/>
        </w:rPr>
      </w:pPr>
    </w:p>
    <w:p w14:paraId="73AD5E17">
      <w:pPr>
        <w:spacing w:line="246" w:lineRule="auto"/>
        <w:rPr>
          <w:rFonts w:ascii="Arial"/>
          <w:sz w:val="21"/>
        </w:rPr>
      </w:pPr>
    </w:p>
    <w:p w14:paraId="4A14FBFB">
      <w:pPr>
        <w:spacing w:line="246" w:lineRule="auto"/>
        <w:rPr>
          <w:rFonts w:ascii="Arial"/>
          <w:sz w:val="21"/>
        </w:rPr>
      </w:pPr>
    </w:p>
    <w:p w14:paraId="2DA9FC83">
      <w:p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科博瑞（武汉）生物科技有限公司</w:t>
      </w:r>
    </w:p>
    <w:p w14:paraId="280802E6">
      <w:p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TEL：027-87615885  15972062685</w:t>
      </w:r>
    </w:p>
    <w:p w14:paraId="41456E60">
      <w:pPr>
        <w:numPr>
          <w:ilvl w:val="0"/>
          <w:numId w:val="1"/>
        </w:num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mail：</w:t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fldChar w:fldCharType="begin"/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instrText xml:space="preserve"> HYPERLINK "mailto:3636901710@qq.com" </w:instrText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fldChar w:fldCharType="separate"/>
      </w:r>
      <w:r>
        <w:rPr>
          <w:rStyle w:val="7"/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3636901710@qq.com</w:t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fldChar w:fldCharType="end"/>
      </w:r>
    </w:p>
    <w:p w14:paraId="61923241">
      <w:pPr>
        <w:numPr>
          <w:ilvl w:val="0"/>
          <w:numId w:val="0"/>
        </w:num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Web:www.coburybio.com</w:t>
      </w:r>
    </w:p>
    <w:p w14:paraId="7C8AC8DF">
      <w:pPr>
        <w:spacing w:line="247" w:lineRule="auto"/>
        <w:rPr>
          <w:rFonts w:ascii="Arial"/>
          <w:sz w:val="21"/>
        </w:rPr>
      </w:pPr>
    </w:p>
    <w:p w14:paraId="58B8B0CB">
      <w:pPr>
        <w:spacing w:line="247" w:lineRule="auto"/>
        <w:rPr>
          <w:rFonts w:ascii="Arial"/>
          <w:sz w:val="21"/>
        </w:rPr>
      </w:pPr>
    </w:p>
    <w:p w14:paraId="1B3EF284">
      <w:pPr>
        <w:spacing w:line="247" w:lineRule="auto"/>
        <w:rPr>
          <w:rFonts w:ascii="Arial"/>
          <w:sz w:val="21"/>
        </w:rPr>
      </w:pPr>
    </w:p>
    <w:p w14:paraId="41E782CC">
      <w:pPr>
        <w:spacing w:line="61" w:lineRule="exact"/>
      </w:pPr>
      <w:r>
        <w:rPr>
          <w:position w:val="-1"/>
        </w:rPr>
        <w:drawing>
          <wp:inline distT="0" distB="0" distL="0" distR="0">
            <wp:extent cx="6381750" cy="38735"/>
            <wp:effectExtent l="0" t="0" r="0" b="0"/>
            <wp:docPr id="18" name="IM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 18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381751" cy="38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footerReference r:id="rId5" w:type="default"/>
      <w:pgSz w:w="11906" w:h="16839"/>
      <w:pgMar w:top="851" w:right="595" w:bottom="2061" w:left="1259" w:header="0" w:footer="1234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A664F1">
    <w:pPr>
      <w:pStyle w:val="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47BAFCB"/>
    <w:multiLevelType w:val="singleLevel"/>
    <w:tmpl w:val="A47BAFCB"/>
    <w:lvl w:ilvl="0" w:tentative="0">
      <w:start w:val="5"/>
      <w:numFmt w:val="upperLetter"/>
      <w:suff w:val="nothing"/>
      <w:lvlText w:val="%1-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70B5389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Times New Roman" w:hAnsi="Times New Roman" w:eastAsia="Times New Roman" w:cs="Times New Roman"/>
      <w:sz w:val="20"/>
      <w:szCs w:val="20"/>
      <w:lang w:val="en-US" w:eastAsia="en-US" w:bidi="ar-SA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numbering" Target="numbering.xml"/><Relationship Id="rId13" Type="http://schemas.openxmlformats.org/officeDocument/2006/relationships/image" Target="media/image7.png"/><Relationship Id="rId12" Type="http://schemas.openxmlformats.org/officeDocument/2006/relationships/image" Target="media/image6.png"/><Relationship Id="rId11" Type="http://schemas.openxmlformats.org/officeDocument/2006/relationships/image" Target="media/image5.png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261</Words>
  <Characters>1695</Characters>
  <TotalTime>1</TotalTime>
  <ScaleCrop>false</ScaleCrop>
  <LinksUpToDate>false</LinksUpToDate>
  <CharactersWithSpaces>1964</CharactersWithSpaces>
  <Application>WPS Office_12.1.0.21541_F1E327BC-269C-435d-A152-05C5408002CA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2016-02-16T15:43:00Z</dcterms:created>
  <dc:creator>Limin Wang</dc:creator>
  <cp:lastModifiedBy>周亿福</cp:lastModifiedBy>
  <dcterms:modified xsi:type="dcterms:W3CDTF">2025-08-14T07:24:24Z</dcterms:modified>
  <dc:title>MEK1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2025-08-14T11:00:37Z</vt:filetime>
  </property>
  <property fmtid="{D5CDD505-2E9C-101B-9397-08002B2CF9AE}" pid="4" name="KSOTemplateDocerSaveRecord">
    <vt:lpwstr>eyJoZGlkIjoiZjc1NzRjMTZhODVjOTM0MjFhODkzYzEwNjNiNjY4OTEiLCJ1c2VySWQiOiI2NjU1NzU2NjgifQ==</vt:lpwstr>
  </property>
  <property fmtid="{D5CDD505-2E9C-101B-9397-08002B2CF9AE}" pid="5" name="KSOProductBuildVer">
    <vt:lpwstr>2052-12.1.0.21541</vt:lpwstr>
  </property>
  <property fmtid="{D5CDD505-2E9C-101B-9397-08002B2CF9AE}" pid="6" name="ICV">
    <vt:lpwstr>229164F732BA461084586FE4B13FFED2_12</vt:lpwstr>
  </property>
</Properties>
</file>